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6.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rPr>
          <w:lang w:eastAsia="en-US" w:val="en-US"/>
        </w:rPr>
      </w:pPr>
      <w:r>
        <w:rPr>
          <w:lang w:eastAsia="en-US" w:val="en-US"/>
        </w:rPr>
        <w:drawing>
          <wp:inline distB="0" distL="0" distR="0" distT="0">
            <wp:extent cx="5790565" cy="115506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90565" cy="1155065"/>
                    </a:xfrm>
                    <a:prstGeom prst="rect">
                      <a:avLst/>
                    </a:prstGeom>
                    <a:noFill/>
                    <a:ln w="9525">
                      <a:noFill/>
                      <a:miter lim="800000"/>
                      <a:headEnd/>
                      <a:tailEnd/>
                    </a:ln>
                  </pic:spPr>
                </pic:pic>
              </a:graphicData>
            </a:graphic>
          </wp:inline>
        </w:drawing>
      </w:r>
    </w:p>
    <w:p>
      <w:pPr>
        <w:pStyle w:val="style0"/>
        <w:jc w:val="right"/>
        <w:rPr/>
      </w:pPr>
      <w:r>
        <w:rPr/>
      </w:r>
    </w:p>
    <w:p>
      <w:pPr>
        <w:pStyle w:val="style0"/>
        <w:jc w:val="center"/>
        <w:rPr>
          <w:sz w:val="32"/>
          <w:szCs w:val="32"/>
        </w:rPr>
      </w:pPr>
      <w:r>
        <w:rPr>
          <w:sz w:val="32"/>
          <w:szCs w:val="32"/>
        </w:rPr>
        <w:t>STSM Scientific Report Template</w:t>
      </w:r>
    </w:p>
    <w:p>
      <w:pPr>
        <w:pStyle w:val="style0"/>
        <w:rPr>
          <w:sz w:val="24"/>
          <w:szCs w:val="24"/>
        </w:rPr>
      </w:pPr>
      <w:r>
        <w:rPr>
          <w:sz w:val="24"/>
          <w:szCs w:val="24"/>
        </w:rPr>
        <w:t xml:space="preserve">Applicant and home institution : </w:t>
      </w:r>
      <w:r>
        <w:rPr>
          <w:sz w:val="24"/>
          <w:szCs w:val="24"/>
        </w:rPr>
        <w:t>Ernest Alsina, Instituto de Astrofísica de Canarias (IAC)</w:t>
      </w:r>
    </w:p>
    <w:p>
      <w:pPr>
        <w:pStyle w:val="style0"/>
        <w:rPr>
          <w:sz w:val="24"/>
          <w:szCs w:val="24"/>
        </w:rPr>
      </w:pPr>
      <w:r>
        <w:rPr>
          <w:sz w:val="24"/>
          <w:szCs w:val="24"/>
        </w:rPr>
        <w:t xml:space="preserve">Visited scientist and host institution : </w:t>
      </w:r>
      <w:r>
        <w:rPr>
          <w:sz w:val="24"/>
          <w:szCs w:val="24"/>
        </w:rPr>
        <w:t>Dr. Luca Belluzzi, Istituto Ricerche Solari Locarno (IRSOL)</w:t>
      </w:r>
    </w:p>
    <w:p>
      <w:pPr>
        <w:pStyle w:val="style0"/>
        <w:rPr>
          <w:sz w:val="24"/>
          <w:szCs w:val="24"/>
        </w:rPr>
      </w:pPr>
      <w:r>
        <w:rPr>
          <w:sz w:val="24"/>
          <w:szCs w:val="24"/>
        </w:rPr>
        <w:t xml:space="preserve">Dates of STSM : </w:t>
      </w:r>
      <w:r>
        <w:rPr>
          <w:sz w:val="24"/>
          <w:szCs w:val="24"/>
        </w:rPr>
        <w:t>April 6</w:t>
      </w:r>
      <w:r>
        <w:rPr>
          <w:sz w:val="24"/>
          <w:szCs w:val="24"/>
          <w:vertAlign w:val="superscript"/>
        </w:rPr>
        <w:t>th</w:t>
      </w:r>
      <w:r>
        <w:rPr>
          <w:sz w:val="24"/>
          <w:szCs w:val="24"/>
        </w:rPr>
        <w:t xml:space="preserve"> to May 15</w:t>
      </w:r>
      <w:r>
        <w:rPr>
          <w:sz w:val="24"/>
          <w:szCs w:val="24"/>
          <w:vertAlign w:val="superscript"/>
        </w:rPr>
        <w:t>th</w:t>
      </w:r>
      <w:r>
        <w:rPr>
          <w:sz w:val="24"/>
          <w:szCs w:val="24"/>
        </w:rPr>
        <w:t xml:space="preserve"> 2015</w:t>
      </w:r>
    </w:p>
    <w:p>
      <w:pPr>
        <w:pStyle w:val="style0"/>
        <w:rPr>
          <w:sz w:val="24"/>
          <w:szCs w:val="24"/>
        </w:rPr>
      </w:pPr>
      <w:r>
        <w:rPr>
          <w:sz w:val="24"/>
          <w:szCs w:val="24"/>
        </w:rPr>
        <w:pict>
          <v:line from="-0.5pt,6pt" id="shape_0" style="position:absolute;flip:x" to="449.45pt,6.95pt">
            <v:stroke color="#4a7ebb" endcap="square" joinstyle="miter" weight="9360"/>
            <v:fill detectmouseclick="t"/>
          </v:line>
        </w:pict>
      </w:r>
    </w:p>
    <w:p>
      <w:pPr>
        <w:pStyle w:val="style0"/>
        <w:rPr>
          <w:sz w:val="24"/>
          <w:szCs w:val="24"/>
        </w:rPr>
      </w:pPr>
      <w:r>
        <w:rPr>
          <w:sz w:val="24"/>
          <w:szCs w:val="24"/>
        </w:rPr>
        <w:t>Explain briefly below how your STSM matched one of these key-points :</w:t>
      </w:r>
    </w:p>
    <w:p>
      <w:pPr>
        <w:pStyle w:val="style0"/>
        <w:numPr>
          <w:ilvl w:val="0"/>
          <w:numId w:val="1"/>
        </w:numPr>
        <w:spacing w:after="0" w:before="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t>strengthen current collaborative projects</w:t>
      </w:r>
    </w:p>
    <w:p>
      <w:pPr>
        <w:pStyle w:val="style0"/>
        <w:numPr>
          <w:ilvl w:val="0"/>
          <w:numId w:val="1"/>
        </w:numPr>
        <w:spacing w:after="200" w:before="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t>establish new collaborations</w:t>
      </w:r>
    </w:p>
    <w:p>
      <w:pPr>
        <w:pStyle w:val="style0"/>
        <w:numPr>
          <w:ilvl w:val="0"/>
          <w:numId w:val="1"/>
        </w:numPr>
        <w:spacing w:after="200" w:before="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t>obtain necessary knowledge for the application of new techniques</w:t>
      </w:r>
    </w:p>
    <w:p>
      <w:pPr>
        <w:pStyle w:val="style0"/>
        <w:numPr>
          <w:ilvl w:val="0"/>
          <w:numId w:val="1"/>
        </w:numPr>
        <w:spacing w:after="280" w:before="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t>use host infrastructures that are not available at the home institute.</w:t>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r>
        <w:pict>
          <v:rect fillcolor="#FFFFFF" strokecolor="#000000" strokeweight="1pt" style="position:absolute;width:406.2pt;height:218.7pt;margin-top:-0.6pt;margin-left:30.9pt">
            <v:shadow color="#000000" offset="2.1pt,2.1pt" on="t"/>
            <v:textbox inset="7.2pt,3.6pt,7.2pt,3.6pt">
              <w:txbxContent>
                <w:p>
                  <w:pPr>
                    <w:pStyle w:val="style0"/>
                    <w:jc w:val="both"/>
                    <w:rPr/>
                  </w:pPr>
                  <w:r>
                    <w:rPr/>
                    <w:t xml:space="preserve">During my stay at IRSOL I had the opportunity to work more closely with Dr. Luca Belluzzi, </w:t>
                  </w:r>
                  <w:r>
                    <w:rPr/>
                    <w:t>who is the co-director of my thesis. It is highly beneficial to be able to work with him in person, given his expertise in radiative transfer in the solar atmosphere in general, and particularly in the subject of partial redistribution in frequencies (PRD).</w:t>
                  </w:r>
                </w:p>
                <w:p>
                  <w:pPr>
                    <w:pStyle w:val="style0"/>
                    <w:spacing w:after="200" w:before="0"/>
                    <w:contextualSpacing w:val="false"/>
                    <w:jc w:val="both"/>
                    <w:rPr/>
                  </w:pPr>
                  <w:r>
                    <w:rPr/>
                    <w:t xml:space="preserve">The main objective of the stay was to finish developing a radiative transfer code </w:t>
                  </w:r>
                  <w:r>
                    <w:rPr/>
                    <w:t>for a two-level atom, which</w:t>
                  </w:r>
                  <w:r>
                    <w:rPr/>
                    <w:t xml:space="preserve"> considers </w:t>
                  </w:r>
                  <w:r>
                    <w:rPr/>
                    <w:t>partial redistribution in frequencies</w:t>
                  </w:r>
                  <w:r>
                    <w:rPr/>
                    <w:t xml:space="preserve"> </w:t>
                  </w:r>
                  <w:r>
                    <w:rPr/>
                    <w:t>(PRD)</w:t>
                  </w:r>
                  <w:r>
                    <w:rPr/>
                    <w:t xml:space="preserve">, in the presence of a deterministic magnetic field of arbitrary intensity; i.e. without considering either the weak </w:t>
                  </w:r>
                  <w:r>
                    <w:rPr/>
                    <w:t>magnetic</w:t>
                  </w:r>
                  <w:r>
                    <w:rPr/>
                    <w:t xml:space="preserve"> field approximation (neglecting the effect of Zeeman splitting) nor the strong field limit of the Zeeman effect (in which atomic polarization is not considered).</w:t>
                  </w:r>
                </w:p>
              </w:txbxContent>
            </v:textbox>
          </v:rect>
        </w:pict>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t>Describe below the activities carried out during the STSM and the main results obtained.</w:t>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r>
        <w:pict>
          <v:rect fillcolor="#FFFFFF" strokecolor="#000000" strokeweight="1pt" style="position:absolute;width:405.5pt;height:440.6pt;margin-top:-5.25pt;margin-left:31.25pt">
            <v:shadow color="#000000" offset="2.1pt,2.1pt" on="t"/>
            <v:textbox inset="7.2pt,3.6pt,7.2pt,3.6pt">
              <w:txbxContent>
                <w:p>
                  <w:pPr>
                    <w:pStyle w:val="style0"/>
                    <w:jc w:val="both"/>
                    <w:rPr>
                      <w:sz w:val="20"/>
                      <w:szCs w:val="20"/>
                    </w:rPr>
                  </w:pPr>
                  <w:r>
                    <w:rPr/>
                    <w:t>T</w:t>
                  </w:r>
                  <w:r>
                    <w:rPr>
                      <w:sz w:val="20"/>
                      <w:szCs w:val="20"/>
                    </w:rPr>
                    <w:t xml:space="preserve">he code is based on the redistribution matrix formalism </w:t>
                  </w:r>
                  <w:r>
                    <w:rPr>
                      <w:sz w:val="20"/>
                      <w:szCs w:val="20"/>
                    </w:rPr>
                    <w:t>developed by V. Bommier (1997).</w:t>
                  </w:r>
                  <w:r>
                    <w:rPr>
                      <w:sz w:val="20"/>
                      <w:szCs w:val="20"/>
                    </w:rPr>
                    <w:t xml:space="preserve"> </w:t>
                  </w:r>
                  <w:r>
                    <w:rPr>
                      <w:sz w:val="20"/>
                      <w:szCs w:val="20"/>
                    </w:rPr>
                    <w:t>D</w:t>
                  </w:r>
                  <w:r>
                    <w:rPr>
                      <w:sz w:val="20"/>
                      <w:szCs w:val="20"/>
                    </w:rPr>
                    <w:t xml:space="preserve">uring the first few days of the stay, certain theoretic aspects </w:t>
                  </w:r>
                  <w:r>
                    <w:rPr>
                      <w:sz w:val="20"/>
                      <w:szCs w:val="20"/>
                    </w:rPr>
                    <w:t>concerning the physics of Raman scattering</w:t>
                  </w:r>
                  <w:r>
                    <w:rPr>
                      <w:sz w:val="20"/>
                      <w:szCs w:val="20"/>
                    </w:rPr>
                    <w:t xml:space="preserve"> were addressed, such as the effects of Doppler redistribution together with Raman scattering (as well as a theoretical interpretation of the contribution of each individual transition to the redistribution matrix due to coherent scattering using </w:t>
                  </w:r>
                  <w:r>
                    <w:rPr>
                      <w:sz w:val="20"/>
                      <w:szCs w:val="20"/>
                    </w:rPr>
                    <w:t>the</w:t>
                  </w:r>
                  <w:r>
                    <w:rPr>
                      <w:sz w:val="20"/>
                      <w:szCs w:val="20"/>
                    </w:rPr>
                    <w:t xml:space="preserve"> metalevel theory)</w:t>
                  </w:r>
                  <w:r>
                    <w:rPr>
                      <w:sz w:val="20"/>
                      <w:szCs w:val="20"/>
                    </w:rPr>
                    <w:t>.</w:t>
                  </w:r>
                </w:p>
                <w:p>
                  <w:pPr>
                    <w:pStyle w:val="style0"/>
                    <w:jc w:val="both"/>
                    <w:rPr>
                      <w:position w:val="0"/>
                      <w:sz w:val="20"/>
                      <w:sz w:val="20"/>
                      <w:szCs w:val="20"/>
                      <w:vertAlign w:val="baseline"/>
                    </w:rPr>
                  </w:pPr>
                  <w:r>
                    <w:rPr>
                      <w:sz w:val="20"/>
                      <w:szCs w:val="20"/>
                    </w:rPr>
                    <w:t>The R</w:t>
                  </w:r>
                  <w:r>
                    <w:rPr>
                      <w:sz w:val="20"/>
                      <w:szCs w:val="20"/>
                      <w:vertAlign w:val="subscript"/>
                    </w:rPr>
                    <w:t>II</w:t>
                  </w:r>
                  <w:r>
                    <w:rPr>
                      <w:position w:val="0"/>
                      <w:sz w:val="20"/>
                      <w:sz w:val="20"/>
                      <w:szCs w:val="20"/>
                      <w:vertAlign w:val="baseline"/>
                    </w:rPr>
                    <w:t xml:space="preserve"> </w:t>
                  </w:r>
                  <w:r>
                    <w:rPr>
                      <w:position w:val="0"/>
                      <w:sz w:val="20"/>
                      <w:sz w:val="20"/>
                      <w:szCs w:val="20"/>
                      <w:vertAlign w:val="baseline"/>
                    </w:rPr>
                    <w:t>redistribution matrix</w:t>
                  </w:r>
                  <w:r>
                    <w:rPr>
                      <w:position w:val="0"/>
                      <w:sz w:val="20"/>
                      <w:sz w:val="20"/>
                      <w:szCs w:val="20"/>
                      <w:vertAlign w:val="baseline"/>
                    </w:rPr>
                    <w:t xml:space="preserve"> </w:t>
                  </w:r>
                  <w:r>
                    <w:rPr>
                      <w:position w:val="0"/>
                      <w:sz w:val="20"/>
                      <w:sz w:val="20"/>
                      <w:szCs w:val="20"/>
                      <w:vertAlign w:val="baseline"/>
                    </w:rPr>
                    <w:t xml:space="preserve">was included in a </w:t>
                  </w:r>
                  <w:r>
                    <w:rPr>
                      <w:position w:val="0"/>
                      <w:sz w:val="20"/>
                      <w:sz w:val="20"/>
                      <w:szCs w:val="20"/>
                      <w:vertAlign w:val="baseline"/>
                    </w:rPr>
                    <w:t>non-LTE</w:t>
                  </w:r>
                  <w:r>
                    <w:rPr>
                      <w:position w:val="0"/>
                      <w:sz w:val="20"/>
                      <w:sz w:val="20"/>
                      <w:szCs w:val="20"/>
                      <w:vertAlign w:val="baseline"/>
                    </w:rPr>
                    <w:t xml:space="preserve"> code which had been </w:t>
                  </w:r>
                  <w:r>
                    <w:rPr>
                      <w:position w:val="0"/>
                      <w:sz w:val="20"/>
                      <w:sz w:val="20"/>
                      <w:szCs w:val="20"/>
                      <w:vertAlign w:val="baseline"/>
                    </w:rPr>
                    <w:t>previously</w:t>
                  </w:r>
                  <w:r>
                    <w:rPr>
                      <w:position w:val="0"/>
                      <w:sz w:val="20"/>
                      <w:sz w:val="20"/>
                      <w:szCs w:val="20"/>
                      <w:vertAlign w:val="baseline"/>
                    </w:rPr>
                    <w:t xml:space="preserve"> developed </w:t>
                  </w:r>
                  <w:r>
                    <w:rPr>
                      <w:position w:val="0"/>
                      <w:sz w:val="20"/>
                      <w:sz w:val="20"/>
                      <w:szCs w:val="20"/>
                      <w:vertAlign w:val="baseline"/>
                    </w:rPr>
                    <w:t>for treating the limit of complete frequency redistribution (CRD),</w:t>
                  </w:r>
                  <w:r>
                    <w:rPr>
                      <w:position w:val="0"/>
                      <w:sz w:val="20"/>
                      <w:sz w:val="20"/>
                      <w:szCs w:val="20"/>
                      <w:vertAlign w:val="baseline"/>
                    </w:rPr>
                    <w:t xml:space="preserve"> and which already used the so-called  frequency-by-frequency method </w:t>
                  </w:r>
                  <w:r>
                    <w:rPr>
                      <w:position w:val="0"/>
                      <w:sz w:val="20"/>
                      <w:sz w:val="20"/>
                      <w:szCs w:val="20"/>
                      <w:vertAlign w:val="baseline"/>
                    </w:rPr>
                    <w:t xml:space="preserve">(a numerical method </w:t>
                  </w:r>
                  <w:r>
                    <w:rPr>
                      <w:position w:val="0"/>
                      <w:sz w:val="20"/>
                      <w:sz w:val="20"/>
                      <w:szCs w:val="20"/>
                      <w:vertAlign w:val="baseline"/>
                    </w:rPr>
                    <w:t>that allows applying the Jacobi iterative scheme when the source function i</w:t>
                  </w:r>
                  <w:r>
                    <w:rPr>
                      <w:position w:val="0"/>
                      <w:sz w:val="20"/>
                      <w:sz w:val="20"/>
                      <w:szCs w:val="20"/>
                      <w:vertAlign w:val="baseline"/>
                    </w:rPr>
                    <w:t>s frequency-dependent; see Paletou &amp; Auer 1995).</w:t>
                  </w:r>
                </w:p>
                <w:p>
                  <w:pPr>
                    <w:pStyle w:val="style0"/>
                    <w:jc w:val="both"/>
                    <w:rPr>
                      <w:rFonts w:ascii="Liberation Serif" w:hAnsi="Liberation Serif"/>
                      <w:position w:val="0"/>
                      <w:sz w:val="20"/>
                      <w:sz w:val="20"/>
                      <w:szCs w:val="20"/>
                      <w:vertAlign w:val="baseline"/>
                    </w:rPr>
                  </w:pPr>
                  <w:r>
                    <w:rPr>
                      <w:position w:val="0"/>
                      <w:sz w:val="20"/>
                      <w:sz w:val="20"/>
                      <w:szCs w:val="20"/>
                      <w:vertAlign w:val="baseline"/>
                    </w:rPr>
                    <w:t xml:space="preserve">After a debugging phase in which multiple tests were performed in order to find possible sources of errors - such as comparing the zero-field results with those of codes already in existence, taking the limits </w:t>
                  </w:r>
                  <w:r>
                    <w:rPr>
                      <w:position w:val="0"/>
                      <w:sz w:val="20"/>
                      <w:sz w:val="20"/>
                      <w:szCs w:val="20"/>
                      <w:vertAlign w:val="baseline"/>
                    </w:rPr>
                    <w:t>of CRD</w:t>
                  </w:r>
                  <w:r>
                    <w:rPr>
                      <w:position w:val="0"/>
                      <w:sz w:val="20"/>
                      <w:sz w:val="20"/>
                      <w:szCs w:val="20"/>
                      <w:vertAlign w:val="baseline"/>
                    </w:rPr>
                    <w:t xml:space="preserve"> and </w:t>
                  </w:r>
                  <w:r>
                    <w:rPr>
                      <w:position w:val="0"/>
                      <w:sz w:val="20"/>
                      <w:sz w:val="20"/>
                      <w:szCs w:val="20"/>
                      <w:vertAlign w:val="baseline"/>
                    </w:rPr>
                    <w:t>of</w:t>
                  </w:r>
                  <w:r>
                    <w:rPr>
                      <w:position w:val="0"/>
                      <w:sz w:val="20"/>
                      <w:sz w:val="20"/>
                      <w:szCs w:val="20"/>
                      <w:vertAlign w:val="baseline"/>
                    </w:rPr>
                    <w:t xml:space="preserve"> coherent scattering (CS), or considering an optically thin slab in order to eliminate radiative transfer effects – the code was applied to the Ba II line at 4554 </w:t>
                  </w:r>
                  <w:r>
                    <w:rPr>
                      <w:rFonts w:ascii="Liberation Serif" w:hAnsi="Liberation Serif"/>
                      <w:position w:val="0"/>
                      <w:sz w:val="20"/>
                      <w:sz w:val="20"/>
                      <w:szCs w:val="20"/>
                      <w:vertAlign w:val="baseline"/>
                    </w:rPr>
                    <w:t>Å</w:t>
                  </w:r>
                  <w:r>
                    <w:rPr>
                      <w:rFonts w:ascii="Liberation Serif" w:hAnsi="Liberation Serif"/>
                      <w:position w:val="0"/>
                      <w:sz w:val="20"/>
                      <w:sz w:val="20"/>
                      <w:szCs w:val="20"/>
                      <w:vertAlign w:val="baseline"/>
                    </w:rPr>
                    <w:t xml:space="preserve"> and the Sr II line at 4077 </w:t>
                  </w:r>
                  <w:r>
                    <w:rPr>
                      <w:rFonts w:ascii="Liberation Serif" w:hAnsi="Liberation Serif"/>
                      <w:position w:val="0"/>
                      <w:sz w:val="20"/>
                      <w:sz w:val="20"/>
                      <w:szCs w:val="20"/>
                      <w:vertAlign w:val="baseline"/>
                    </w:rPr>
                    <w:t>Å</w:t>
                  </w:r>
                  <w:r>
                    <w:rPr>
                      <w:rFonts w:ascii="Liberation Serif" w:hAnsi="Liberation Serif"/>
                      <w:position w:val="0"/>
                      <w:sz w:val="20"/>
                      <w:sz w:val="20"/>
                      <w:szCs w:val="20"/>
                      <w:vertAlign w:val="baseline"/>
                    </w:rPr>
                    <w:t xml:space="preserve">, the atomic model for which had been developed during my previous stay at IRSOL. Results were obtained for various inclinations and intensities of the magnetic field, and the combined action of the Hanle and Zeeman effects was identified in </w:t>
                  </w:r>
                  <w:r>
                    <w:rPr>
                      <w:rFonts w:ascii="Liberation Serif" w:hAnsi="Liberation Serif"/>
                      <w:position w:val="0"/>
                      <w:sz w:val="20"/>
                      <w:sz w:val="20"/>
                      <w:szCs w:val="20"/>
                      <w:vertAlign w:val="baseline"/>
                    </w:rPr>
                    <w:t>the corresponding</w:t>
                  </w:r>
                  <w:r>
                    <w:rPr>
                      <w:rFonts w:ascii="Liberation Serif" w:hAnsi="Liberation Serif"/>
                      <w:position w:val="0"/>
                      <w:sz w:val="20"/>
                      <w:sz w:val="20"/>
                      <w:szCs w:val="20"/>
                      <w:vertAlign w:val="baseline"/>
                    </w:rPr>
                    <w:t xml:space="preserve"> Stokes profiles. In addition, the results were compared </w:t>
                  </w:r>
                  <w:r>
                    <w:rPr>
                      <w:rFonts w:ascii="Liberation Serif" w:hAnsi="Liberation Serif"/>
                      <w:position w:val="0"/>
                      <w:sz w:val="20"/>
                      <w:sz w:val="20"/>
                      <w:szCs w:val="20"/>
                      <w:vertAlign w:val="baseline"/>
                    </w:rPr>
                    <w:t xml:space="preserve">to the ones obtained using the weak field approximation. </w:t>
                  </w:r>
                  <w:r>
                    <w:rPr>
                      <w:rFonts w:ascii="Liberation Serif" w:hAnsi="Liberation Serif"/>
                      <w:position w:val="0"/>
                      <w:sz w:val="20"/>
                      <w:sz w:val="20"/>
                      <w:szCs w:val="20"/>
                      <w:vertAlign w:val="baseline"/>
                    </w:rPr>
                    <w:t>I</w:t>
                  </w:r>
                  <w:r>
                    <w:rPr>
                      <w:rFonts w:ascii="Liberation Serif" w:hAnsi="Liberation Serif"/>
                      <w:position w:val="0"/>
                      <w:sz w:val="20"/>
                      <w:sz w:val="20"/>
                      <w:szCs w:val="20"/>
                      <w:vertAlign w:val="baseline"/>
                    </w:rPr>
                    <w:t>t was found that, while</w:t>
                  </w:r>
                  <w:r>
                    <w:rPr>
                      <w:rFonts w:ascii="Liberation Serif" w:hAnsi="Liberation Serif"/>
                      <w:position w:val="0"/>
                      <w:sz w:val="20"/>
                      <w:sz w:val="20"/>
                      <w:szCs w:val="20"/>
                      <w:vertAlign w:val="baseline"/>
                    </w:rPr>
                    <w:t xml:space="preserve"> this</w:t>
                  </w:r>
                  <w:r>
                    <w:rPr>
                      <w:rFonts w:ascii="Liberation Serif" w:hAnsi="Liberation Serif"/>
                      <w:position w:val="0"/>
                      <w:sz w:val="20"/>
                      <w:sz w:val="20"/>
                      <w:szCs w:val="20"/>
                      <w:vertAlign w:val="baseline"/>
                    </w:rPr>
                    <w:t xml:space="preserve"> approximation is a good one in the core of these lines, the depolarization found in the wings in this approximation is </w:t>
                  </w:r>
                  <w:r>
                    <w:rPr>
                      <w:rFonts w:ascii="Liberation Serif" w:hAnsi="Liberation Serif"/>
                      <w:position w:val="0"/>
                      <w:sz w:val="20"/>
                      <w:sz w:val="20"/>
                      <w:szCs w:val="20"/>
                      <w:vertAlign w:val="baseline"/>
                    </w:rPr>
                    <w:t>considerably</w:t>
                  </w:r>
                  <w:r>
                    <w:rPr>
                      <w:rFonts w:ascii="Liberation Serif" w:hAnsi="Liberation Serif"/>
                      <w:position w:val="0"/>
                      <w:sz w:val="20"/>
                      <w:sz w:val="20"/>
                      <w:szCs w:val="20"/>
                      <w:vertAlign w:val="baseline"/>
                    </w:rPr>
                    <w:t xml:space="preserve"> overestimated.</w:t>
                  </w:r>
                </w:p>
                <w:p>
                  <w:pPr>
                    <w:pStyle w:val="style0"/>
                    <w:spacing w:after="200" w:before="0"/>
                    <w:contextualSpacing w:val="false"/>
                    <w:jc w:val="both"/>
                    <w:rPr>
                      <w:rFonts w:ascii="Liberation Serif" w:hAnsi="Liberation Serif"/>
                      <w:position w:val="0"/>
                      <w:sz w:val="20"/>
                      <w:sz w:val="20"/>
                      <w:szCs w:val="20"/>
                      <w:vertAlign w:val="baseline"/>
                    </w:rPr>
                  </w:pPr>
                  <w:r>
                    <w:rPr>
                      <w:rFonts w:ascii="Liberation Serif" w:hAnsi="Liberation Serif"/>
                      <w:position w:val="0"/>
                      <w:sz w:val="20"/>
                      <w:sz w:val="20"/>
                      <w:szCs w:val="20"/>
                      <w:vertAlign w:val="baseline"/>
                    </w:rPr>
                    <w:t xml:space="preserve">In conclusion, </w:t>
                  </w:r>
                  <w:r>
                    <w:rPr>
                      <w:rFonts w:ascii="Liberation Serif" w:hAnsi="Liberation Serif"/>
                      <w:position w:val="0"/>
                      <w:sz w:val="20"/>
                      <w:sz w:val="20"/>
                      <w:szCs w:val="20"/>
                      <w:vertAlign w:val="baseline"/>
                    </w:rPr>
                    <w:t>the main goal of my STSM at IRSOL has bee successfully achieved. T</w:t>
                  </w:r>
                  <w:r>
                    <w:rPr>
                      <w:rFonts w:ascii="Liberation Serif" w:hAnsi="Liberation Serif"/>
                      <w:position w:val="0"/>
                      <w:sz w:val="20"/>
                      <w:sz w:val="20"/>
                      <w:szCs w:val="20"/>
                      <w:vertAlign w:val="baseline"/>
                    </w:rPr>
                    <w:t xml:space="preserve">he </w:t>
                  </w:r>
                  <w:r>
                    <w:rPr>
                      <w:rFonts w:ascii="Liberation Serif" w:hAnsi="Liberation Serif"/>
                      <w:position w:val="0"/>
                      <w:sz w:val="20"/>
                      <w:sz w:val="20"/>
                      <w:szCs w:val="20"/>
                      <w:vertAlign w:val="baseline"/>
                    </w:rPr>
                    <w:t>above-mentioned</w:t>
                  </w:r>
                  <w:r>
                    <w:rPr>
                      <w:rFonts w:ascii="Liberation Serif" w:hAnsi="Liberation Serif"/>
                      <w:position w:val="0"/>
                      <w:sz w:val="20"/>
                      <w:sz w:val="20"/>
                      <w:szCs w:val="20"/>
                      <w:vertAlign w:val="baseline"/>
                    </w:rPr>
                    <w:t xml:space="preserve"> code has been </w:t>
                  </w:r>
                  <w:r>
                    <w:rPr>
                      <w:rFonts w:ascii="Liberation Serif" w:hAnsi="Liberation Serif"/>
                      <w:position w:val="0"/>
                      <w:sz w:val="20"/>
                      <w:sz w:val="20"/>
                      <w:szCs w:val="20"/>
                      <w:vertAlign w:val="baseline"/>
                    </w:rPr>
                    <w:t>completed,</w:t>
                  </w:r>
                  <w:r>
                    <w:rPr>
                      <w:rFonts w:ascii="Liberation Serif" w:hAnsi="Liberation Serif"/>
                      <w:position w:val="0"/>
                      <w:sz w:val="20"/>
                      <w:sz w:val="20"/>
                      <w:szCs w:val="20"/>
                      <w:vertAlign w:val="baseline"/>
                    </w:rPr>
                    <w:t xml:space="preserve"> and </w:t>
                  </w:r>
                  <w:r>
                    <w:rPr>
                      <w:rFonts w:ascii="Liberation Serif" w:hAnsi="Liberation Serif"/>
                      <w:position w:val="0"/>
                      <w:sz w:val="20"/>
                      <w:sz w:val="20"/>
                      <w:szCs w:val="20"/>
                      <w:vertAlign w:val="baseline"/>
                    </w:rPr>
                    <w:t xml:space="preserve">it is now </w:t>
                  </w:r>
                  <w:r>
                    <w:rPr>
                      <w:rFonts w:ascii="Liberation Serif" w:hAnsi="Liberation Serif"/>
                      <w:position w:val="0"/>
                      <w:sz w:val="20"/>
                      <w:sz w:val="20"/>
                      <w:szCs w:val="20"/>
                      <w:vertAlign w:val="baseline"/>
                    </w:rPr>
                    <w:t>produc</w:t>
                  </w:r>
                  <w:r>
                    <w:rPr>
                      <w:rFonts w:ascii="Liberation Serif" w:hAnsi="Liberation Serif"/>
                      <w:position w:val="0"/>
                      <w:sz w:val="20"/>
                      <w:sz w:val="20"/>
                      <w:szCs w:val="20"/>
                      <w:vertAlign w:val="baseline"/>
                    </w:rPr>
                    <w:t>ing</w:t>
                  </w:r>
                  <w:r>
                    <w:rPr>
                      <w:rFonts w:ascii="Liberation Serif" w:hAnsi="Liberation Serif"/>
                      <w:position w:val="0"/>
                      <w:sz w:val="20"/>
                      <w:sz w:val="20"/>
                      <w:szCs w:val="20"/>
                      <w:vertAlign w:val="baseline"/>
                    </w:rPr>
                    <w:t xml:space="preserve"> some very interesting results. </w:t>
                  </w:r>
                  <w:r>
                    <w:rPr>
                      <w:rFonts w:ascii="Liberation Serif" w:hAnsi="Liberation Serif"/>
                      <w:position w:val="0"/>
                      <w:sz w:val="20"/>
                      <w:sz w:val="20"/>
                      <w:szCs w:val="20"/>
                      <w:vertAlign w:val="baseline"/>
                    </w:rPr>
                    <w:t>From the computational point of view, the next step will be to</w:t>
                  </w:r>
                  <w:r>
                    <w:rPr>
                      <w:rFonts w:ascii="Liberation Serif" w:hAnsi="Liberation Serif"/>
                      <w:position w:val="0"/>
                      <w:sz w:val="20"/>
                      <w:sz w:val="20"/>
                      <w:szCs w:val="20"/>
                      <w:vertAlign w:val="baseline"/>
                    </w:rPr>
                    <w:t xml:space="preserve"> improve the rate of convergence for </w:t>
                  </w:r>
                  <w:r>
                    <w:rPr>
                      <w:rFonts w:ascii="Liberation Serif" w:hAnsi="Liberation Serif"/>
                      <w:position w:val="0"/>
                      <w:sz w:val="20"/>
                      <w:sz w:val="20"/>
                      <w:szCs w:val="20"/>
                      <w:vertAlign w:val="baseline"/>
                    </w:rPr>
                    <w:t>strong</w:t>
                  </w:r>
                  <w:r>
                    <w:rPr>
                      <w:rFonts w:ascii="Liberation Serif" w:hAnsi="Liberation Serif"/>
                      <w:position w:val="0"/>
                      <w:sz w:val="20"/>
                      <w:sz w:val="20"/>
                      <w:szCs w:val="20"/>
                      <w:vertAlign w:val="baseline"/>
                    </w:rPr>
                    <w:t xml:space="preserve"> fields. </w:t>
                  </w:r>
                  <w:r>
                    <w:rPr>
                      <w:rFonts w:ascii="Liberation Serif" w:hAnsi="Liberation Serif"/>
                      <w:position w:val="0"/>
                      <w:sz w:val="20"/>
                      <w:sz w:val="20"/>
                      <w:szCs w:val="20"/>
                      <w:vertAlign w:val="baseline"/>
                    </w:rPr>
                    <w:t>Theoretically, we need to identify the exact physical mechanisms at the origin of producing peculiar behaviours shown by the calculated Stokes profiles for given magnetic field intensities and geometries.</w:t>
                  </w:r>
                </w:p>
              </w:txbxContent>
            </v:textbox>
          </v:rect>
        </w:pict>
      </w:r>
    </w:p>
    <w:p>
      <w:pPr>
        <w:pStyle w:val="style0"/>
        <w:spacing w:after="280" w:before="280" w:line="100" w:lineRule="atLeast"/>
        <w:contextualSpacing w:val="false"/>
        <w:rPr>
          <w:rFonts w:cs="Calibri" w:eastAsia="Times New Roman"/>
          <w:sz w:val="24"/>
          <w:szCs w:val="24"/>
          <w:lang w:eastAsia="en-US" w:val="en-US"/>
        </w:rPr>
      </w:pPr>
      <w:r>
        <w:rPr>
          <w:rFonts w:cs="Calibri" w:eastAsia="Times New Roman"/>
          <w:sz w:val="24"/>
          <w:szCs w:val="24"/>
          <w:lang w:eastAsia="en-US" w:val="en-US"/>
        </w:rPr>
      </w:r>
    </w:p>
    <w:p>
      <w:pPr>
        <w:pStyle w:val="style0"/>
        <w:spacing w:after="200" w:before="0"/>
        <w:contextualSpacing w:val="false"/>
        <w:rPr>
          <w:sz w:val="24"/>
          <w:szCs w:val="24"/>
        </w:rPr>
      </w:pPr>
      <w:r>
        <w:rPr>
          <w:sz w:val="24"/>
          <w:szCs w:val="24"/>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 w:name="Liberation Serif">
    <w:altName w:val="Times New Roman"/>
    <w:charset w:val="00"/>
    <w:family w:val="roman"/>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440" w:val="num"/>
        </w:tabs>
        <w:ind w:hanging="360" w:left="1440"/>
      </w:pPr>
      <w:rPr/>
    </w:lvl>
    <w:lvl w:ilvl="2">
      <w:start w:val="1"/>
      <w:numFmt w:val="decimal"/>
      <w:lvlText w:val="%3."/>
      <w:lvlJc w:val="left"/>
      <w:pPr>
        <w:tabs>
          <w:tab w:pos="2160" w:val="num"/>
        </w:tabs>
        <w:ind w:hanging="360" w:left="2160"/>
      </w:pPr>
      <w:rPr/>
    </w:lvl>
    <w:lvl w:ilvl="3">
      <w:start w:val="1"/>
      <w:numFmt w:val="decimal"/>
      <w:lvlText w:val="%4."/>
      <w:lvlJc w:val="left"/>
      <w:pPr>
        <w:tabs>
          <w:tab w:pos="2880" w:val="num"/>
        </w:tabs>
        <w:ind w:hanging="360" w:left="2880"/>
      </w:pPr>
      <w:rPr/>
    </w:lvl>
    <w:lvl w:ilvl="4">
      <w:start w:val="1"/>
      <w:numFmt w:val="decimal"/>
      <w:lvlText w:val="%5."/>
      <w:lvlJc w:val="left"/>
      <w:pPr>
        <w:tabs>
          <w:tab w:pos="3600" w:val="num"/>
        </w:tabs>
        <w:ind w:hanging="360" w:left="3600"/>
      </w:pPr>
      <w:rPr/>
    </w:lvl>
    <w:lvl w:ilvl="5">
      <w:start w:val="1"/>
      <w:numFmt w:val="decimal"/>
      <w:lvlText w:val="%6."/>
      <w:lvlJc w:val="left"/>
      <w:pPr>
        <w:tabs>
          <w:tab w:pos="4320" w:val="num"/>
        </w:tabs>
        <w:ind w:hanging="360" w:left="4320"/>
      </w:pPr>
      <w:rPr/>
    </w:lvl>
    <w:lvl w:ilvl="6">
      <w:start w:val="1"/>
      <w:numFmt w:val="decimal"/>
      <w:lvlText w:val="%7."/>
      <w:lvlJc w:val="left"/>
      <w:pPr>
        <w:tabs>
          <w:tab w:pos="5040" w:val="num"/>
        </w:tabs>
        <w:ind w:hanging="360" w:left="5040"/>
      </w:pPr>
      <w:rPr/>
    </w:lvl>
    <w:lvl w:ilvl="7">
      <w:start w:val="1"/>
      <w:numFmt w:val="decimal"/>
      <w:lvlText w:val="%8."/>
      <w:lvlJc w:val="left"/>
      <w:pPr>
        <w:tabs>
          <w:tab w:pos="5760" w:val="num"/>
        </w:tabs>
        <w:ind w:hanging="360" w:left="5760"/>
      </w:pPr>
      <w:rPr/>
    </w:lvl>
    <w:lvl w:ilvl="8">
      <w:start w:val="1"/>
      <w:numFmt w:val="decimal"/>
      <w:lvlText w:val="%9."/>
      <w:lvlJc w:val="left"/>
      <w:pPr>
        <w:tabs>
          <w:tab w:pos="6480" w:val="num"/>
        </w:tabs>
        <w:ind w:hanging="360" w:left="648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true"/>
      <w:autoSpaceDE w:val="true"/>
      <w:spacing w:after="200" w:before="0" w:line="276" w:lineRule="auto"/>
      <w:contextualSpacing w:val="false"/>
    </w:pPr>
    <w:rPr>
      <w:rFonts w:ascii="Calibri" w:cs="Times New Roman" w:eastAsia="Calibri" w:hAnsi="Calibri"/>
      <w:color w:val="auto"/>
      <w:sz w:val="22"/>
      <w:szCs w:val="22"/>
      <w:lang w:bidi="ar-SA" w:eastAsia="en-US" w:val="en-GB"/>
    </w:rPr>
  </w:style>
  <w:style w:styleId="style15" w:type="character">
    <w:name w:val="WW8Num1z0"/>
    <w:next w:val="style15"/>
    <w:rPr/>
  </w:style>
  <w:style w:styleId="style16" w:type="character">
    <w:name w:val="WW8Num1z1"/>
    <w:next w:val="style16"/>
    <w:rPr/>
  </w:style>
  <w:style w:styleId="style17" w:type="character">
    <w:name w:val="WW8Num1z2"/>
    <w:next w:val="style17"/>
    <w:rPr/>
  </w:style>
  <w:style w:styleId="style18" w:type="character">
    <w:name w:val="WW8Num1z3"/>
    <w:next w:val="style18"/>
    <w:rPr/>
  </w:style>
  <w:style w:styleId="style19" w:type="character">
    <w:name w:val="WW8Num1z4"/>
    <w:next w:val="style19"/>
    <w:rPr/>
  </w:style>
  <w:style w:styleId="style20" w:type="character">
    <w:name w:val="WW8Num1z5"/>
    <w:next w:val="style20"/>
    <w:rPr/>
  </w:style>
  <w:style w:styleId="style21" w:type="character">
    <w:name w:val="WW8Num1z6"/>
    <w:next w:val="style21"/>
    <w:rPr/>
  </w:style>
  <w:style w:styleId="style22" w:type="character">
    <w:name w:val="WW8Num1z7"/>
    <w:next w:val="style22"/>
    <w:rPr/>
  </w:style>
  <w:style w:styleId="style23" w:type="character">
    <w:name w:val="WW8Num1z8"/>
    <w:next w:val="style23"/>
    <w:rPr/>
  </w:style>
  <w:style w:styleId="style24" w:type="character">
    <w:name w:val="Default Paragraph Font"/>
    <w:next w:val="style24"/>
    <w:rPr/>
  </w:style>
  <w:style w:styleId="style25" w:type="character">
    <w:name w:val="Balloon Text Char"/>
    <w:next w:val="style25"/>
    <w:rPr>
      <w:rFonts w:ascii="Tahoma" w:cs="Tahoma" w:hAnsi="Tahoma"/>
      <w:sz w:val="16"/>
      <w:szCs w:val="16"/>
      <w:lang w:eastAsia="en-US" w:val="en-GB"/>
    </w:rPr>
  </w:style>
  <w:style w:styleId="style26" w:type="paragraph">
    <w:name w:val="Heading"/>
    <w:basedOn w:val="style0"/>
    <w:next w:val="style27"/>
    <w:pPr>
      <w:keepNext/>
      <w:spacing w:after="120" w:before="240"/>
      <w:contextualSpacing w:val="false"/>
    </w:pPr>
    <w:rPr>
      <w:rFonts w:ascii="Liberation Sans" w:cs="Lohit Devanagari" w:eastAsia="WenQuanYi Zen Hei Sharp" w:hAnsi="Liberation Sans"/>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Lohit Devanagari"/>
    </w:rPr>
  </w:style>
  <w:style w:styleId="style29" w:type="paragraph">
    <w:name w:val="Caption"/>
    <w:basedOn w:val="style0"/>
    <w:next w:val="style29"/>
    <w:pPr>
      <w:suppressLineNumbers/>
      <w:spacing w:after="120" w:before="120"/>
      <w:contextualSpacing w:val="false"/>
    </w:pPr>
    <w:rPr>
      <w:rFonts w:cs="Lohit Devanagari"/>
      <w:i/>
      <w:iCs/>
      <w:sz w:val="24"/>
      <w:szCs w:val="24"/>
    </w:rPr>
  </w:style>
  <w:style w:styleId="style30" w:type="paragraph">
    <w:name w:val="Index"/>
    <w:basedOn w:val="style0"/>
    <w:next w:val="style30"/>
    <w:pPr>
      <w:suppressLineNumbers/>
    </w:pPr>
    <w:rPr>
      <w:rFonts w:cs="Lohit Devanagari"/>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 w:styleId="style32" w:type="paragraph">
    <w:name w:val="Frame Contents"/>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LibreOffice/4.1.6.2$Linux_X86_64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2013-04-17T14:38:00Z</dcterms:created>
  <dc:creator>herlam</dc:creator>
  <dcterms:modified xsi:type="dcterms:W3CDTF">2015-06-10T19:24:08Z</dcterms:modified>
  <cp:revision>5</cp:revision>
</cp:coreProperties>
</file>